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00064" w14:textId="77777777" w:rsidR="001D1B1C" w:rsidRDefault="001D1B1C" w:rsidP="001D1B1C">
      <w:pPr>
        <w:pStyle w:val="Heading1"/>
        <w:tabs>
          <w:tab w:val="left" w:pos="4549"/>
        </w:tabs>
        <w:spacing w:before="0"/>
        <w:ind w:left="0"/>
        <w:jc w:val="center"/>
        <w:rPr>
          <w:rFonts w:asciiTheme="majorHAnsi" w:hAnsiTheme="majorHAnsi"/>
          <w:spacing w:val="-1"/>
        </w:rPr>
      </w:pPr>
      <w:r w:rsidRPr="00603FD7">
        <w:rPr>
          <w:rFonts w:asciiTheme="majorHAnsi" w:hAnsiTheme="majorHAnsi"/>
          <w:spacing w:val="-1"/>
        </w:rPr>
        <w:t>Polypharmacy Risk Reduction</w:t>
      </w:r>
      <w:r>
        <w:rPr>
          <w:rFonts w:asciiTheme="majorHAnsi" w:hAnsiTheme="majorHAnsi"/>
          <w:spacing w:val="-1"/>
        </w:rPr>
        <w:t xml:space="preserve"> in the Community</w:t>
      </w:r>
    </w:p>
    <w:p w14:paraId="6F6BC575" w14:textId="77777777" w:rsidR="001D1B1C" w:rsidRDefault="001D1B1C" w:rsidP="001D1B1C">
      <w:pPr>
        <w:pStyle w:val="Heading1"/>
        <w:tabs>
          <w:tab w:val="left" w:pos="4549"/>
        </w:tabs>
        <w:spacing w:before="0"/>
        <w:ind w:left="0"/>
        <w:jc w:val="center"/>
        <w:rPr>
          <w:rFonts w:asciiTheme="majorHAnsi" w:hAnsiTheme="majorHAnsi"/>
          <w:spacing w:val="-1"/>
        </w:rPr>
      </w:pPr>
      <w:r>
        <w:rPr>
          <w:rFonts w:asciiTheme="majorHAnsi" w:hAnsiTheme="majorHAnsi"/>
          <w:spacing w:val="-1"/>
        </w:rPr>
        <w:t>Building Local Capacity &amp; Sustainability</w:t>
      </w:r>
      <w:r w:rsidRPr="00603FD7">
        <w:rPr>
          <w:rFonts w:asciiTheme="majorHAnsi" w:hAnsiTheme="majorHAnsi"/>
          <w:spacing w:val="1"/>
        </w:rPr>
        <w:t xml:space="preserve"> </w:t>
      </w:r>
      <w:r>
        <w:rPr>
          <w:rFonts w:asciiTheme="majorHAnsi" w:hAnsiTheme="majorHAnsi"/>
          <w:spacing w:val="-2"/>
        </w:rPr>
        <w:t>Through</w:t>
      </w:r>
      <w:r w:rsidRPr="00603FD7">
        <w:rPr>
          <w:rFonts w:asciiTheme="majorHAnsi" w:hAnsiTheme="majorHAnsi"/>
          <w:spacing w:val="-1"/>
        </w:rPr>
        <w:t xml:space="preserve"> M</w:t>
      </w:r>
      <w:r>
        <w:rPr>
          <w:rFonts w:asciiTheme="majorHAnsi" w:hAnsiTheme="majorHAnsi"/>
          <w:spacing w:val="-1"/>
        </w:rPr>
        <w:t>eaningful</w:t>
      </w:r>
      <w:r w:rsidRPr="00603FD7">
        <w:rPr>
          <w:rFonts w:asciiTheme="majorHAnsi" w:hAnsiTheme="majorHAnsi"/>
          <w:spacing w:val="-3"/>
        </w:rPr>
        <w:t xml:space="preserve"> </w:t>
      </w:r>
      <w:r w:rsidRPr="00603FD7">
        <w:rPr>
          <w:rFonts w:asciiTheme="majorHAnsi" w:hAnsiTheme="majorHAnsi"/>
          <w:spacing w:val="-1"/>
        </w:rPr>
        <w:t>Medication</w:t>
      </w:r>
      <w:r w:rsidRPr="00603FD7">
        <w:rPr>
          <w:rFonts w:asciiTheme="majorHAnsi" w:hAnsiTheme="majorHAnsi"/>
        </w:rPr>
        <w:t xml:space="preserve"> </w:t>
      </w:r>
      <w:r w:rsidRPr="00603FD7">
        <w:rPr>
          <w:rFonts w:asciiTheme="majorHAnsi" w:hAnsiTheme="majorHAnsi"/>
          <w:spacing w:val="-1"/>
        </w:rPr>
        <w:t>Reviews</w:t>
      </w:r>
    </w:p>
    <w:p w14:paraId="1482FE23" w14:textId="77777777" w:rsidR="001D1B1C" w:rsidRDefault="001D1B1C" w:rsidP="001D1B1C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spacing w:val="-1"/>
        </w:rPr>
      </w:pPr>
    </w:p>
    <w:p w14:paraId="764E36EF" w14:textId="6CCA8C07" w:rsidR="00C44C6E" w:rsidRPr="001D1B1C" w:rsidRDefault="00C44C6E" w:rsidP="00C44C6E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ED7D31" w:themeColor="accent2"/>
          <w:spacing w:val="-1"/>
          <w:sz w:val="24"/>
          <w:szCs w:val="24"/>
        </w:rPr>
      </w:pPr>
      <w:r>
        <w:rPr>
          <w:rFonts w:asciiTheme="majorHAnsi" w:hAnsiTheme="majorHAnsi"/>
          <w:color w:val="ED7D31" w:themeColor="accent2"/>
          <w:spacing w:val="-1"/>
          <w:sz w:val="24"/>
          <w:szCs w:val="24"/>
        </w:rPr>
        <w:t>OVERALL GOAL</w:t>
      </w:r>
    </w:p>
    <w:p w14:paraId="141BFEC1" w14:textId="77777777" w:rsidR="00C44C6E" w:rsidRPr="00603FD7" w:rsidRDefault="00C44C6E" w:rsidP="00C44C6E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70AD47" w:themeColor="accent6"/>
          <w:spacing w:val="-1"/>
          <w:sz w:val="24"/>
          <w:szCs w:val="24"/>
        </w:rPr>
      </w:pPr>
      <w:r>
        <w:rPr>
          <w:rFonts w:asciiTheme="majorHAnsi" w:hAnsiTheme="majorHAnsi"/>
          <w:b w:val="0"/>
          <w:spacing w:val="-1"/>
          <w:sz w:val="24"/>
          <w:szCs w:val="24"/>
        </w:rPr>
        <w:t>To achieve p</w:t>
      </w:r>
      <w:r w:rsidRPr="00603FD7">
        <w:rPr>
          <w:rFonts w:asciiTheme="majorHAnsi" w:hAnsiTheme="majorHAnsi"/>
          <w:b w:val="0"/>
          <w:spacing w:val="-1"/>
          <w:sz w:val="24"/>
          <w:szCs w:val="24"/>
        </w:rPr>
        <w:t>olypharmacy risk reduction (P</w:t>
      </w:r>
      <w:r>
        <w:rPr>
          <w:rFonts w:asciiTheme="majorHAnsi" w:hAnsiTheme="majorHAnsi"/>
          <w:b w:val="0"/>
          <w:spacing w:val="-1"/>
          <w:sz w:val="24"/>
          <w:szCs w:val="24"/>
        </w:rPr>
        <w:t>Ph</w:t>
      </w:r>
      <w:r w:rsidRPr="00603FD7">
        <w:rPr>
          <w:rFonts w:asciiTheme="majorHAnsi" w:hAnsiTheme="majorHAnsi"/>
          <w:b w:val="0"/>
          <w:spacing w:val="-1"/>
          <w:sz w:val="24"/>
          <w:szCs w:val="24"/>
        </w:rPr>
        <w:t>RR) in the elderly across British Columbia</w:t>
      </w:r>
    </w:p>
    <w:p w14:paraId="1108E79E" w14:textId="77777777" w:rsidR="00C44C6E" w:rsidRPr="00603FD7" w:rsidRDefault="00C44C6E" w:rsidP="00C44C6E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70AD47" w:themeColor="accent6"/>
          <w:spacing w:val="-1"/>
          <w:sz w:val="24"/>
          <w:szCs w:val="24"/>
        </w:rPr>
      </w:pPr>
    </w:p>
    <w:p w14:paraId="316AD378" w14:textId="7DB71CE7" w:rsidR="00C44C6E" w:rsidRPr="001D1B1C" w:rsidRDefault="00C44C6E" w:rsidP="00C44C6E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ED7D31" w:themeColor="accent2"/>
          <w:spacing w:val="-1"/>
          <w:sz w:val="24"/>
          <w:szCs w:val="24"/>
        </w:rPr>
      </w:pPr>
      <w:r>
        <w:rPr>
          <w:rFonts w:asciiTheme="majorHAnsi" w:hAnsiTheme="majorHAnsi"/>
          <w:color w:val="ED7D31" w:themeColor="accent2"/>
          <w:spacing w:val="-1"/>
          <w:sz w:val="24"/>
          <w:szCs w:val="24"/>
        </w:rPr>
        <w:t>BLCS GOAL</w:t>
      </w:r>
    </w:p>
    <w:p w14:paraId="2767767B" w14:textId="25C819F8" w:rsidR="00C44C6E" w:rsidRPr="0001499E" w:rsidRDefault="00C44C6E" w:rsidP="00C44C6E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70AD47" w:themeColor="accent6"/>
          <w:spacing w:val="-1"/>
          <w:sz w:val="24"/>
          <w:szCs w:val="24"/>
        </w:rPr>
      </w:pPr>
      <w:r w:rsidRPr="005E2C80">
        <w:rPr>
          <w:rFonts w:asciiTheme="majorHAnsi" w:hAnsiTheme="majorHAnsi"/>
          <w:b w:val="0"/>
          <w:bCs w:val="0"/>
          <w:sz w:val="22"/>
          <w:szCs w:val="22"/>
        </w:rPr>
        <w:t xml:space="preserve">The Goal of the BLCS session is to facilitate a discussion with a local group of </w:t>
      </w:r>
      <w:r>
        <w:rPr>
          <w:rFonts w:asciiTheme="majorHAnsi" w:hAnsiTheme="majorHAnsi"/>
          <w:b w:val="0"/>
          <w:bCs w:val="0"/>
          <w:sz w:val="22"/>
          <w:szCs w:val="22"/>
        </w:rPr>
        <w:t xml:space="preserve">community </w:t>
      </w:r>
      <w:r w:rsidRPr="005E2C80">
        <w:rPr>
          <w:rFonts w:asciiTheme="majorHAnsi" w:hAnsiTheme="majorHAnsi"/>
          <w:b w:val="0"/>
          <w:bCs w:val="0"/>
          <w:sz w:val="22"/>
          <w:szCs w:val="22"/>
        </w:rPr>
        <w:t>physicians</w:t>
      </w:r>
      <w:r>
        <w:rPr>
          <w:rFonts w:asciiTheme="majorHAnsi" w:hAnsiTheme="majorHAnsi"/>
          <w:b w:val="0"/>
          <w:bCs w:val="0"/>
          <w:sz w:val="22"/>
          <w:szCs w:val="22"/>
        </w:rPr>
        <w:t xml:space="preserve"> </w:t>
      </w:r>
      <w:r w:rsidRPr="005E2C80">
        <w:rPr>
          <w:rFonts w:asciiTheme="majorHAnsi" w:hAnsiTheme="majorHAnsi"/>
          <w:b w:val="0"/>
          <w:bCs w:val="0"/>
          <w:sz w:val="22"/>
          <w:szCs w:val="22"/>
        </w:rPr>
        <w:t>on improving their meaningful medication review approach</w:t>
      </w:r>
      <w:r>
        <w:rPr>
          <w:rFonts w:asciiTheme="majorHAnsi" w:hAnsiTheme="majorHAnsi"/>
          <w:b w:val="0"/>
          <w:bCs w:val="0"/>
          <w:sz w:val="22"/>
          <w:szCs w:val="22"/>
        </w:rPr>
        <w:t>, including collaboratively working with other health care providers in the community and across transitions of care into and out of acute care</w:t>
      </w:r>
      <w:r w:rsidRPr="005E2C80">
        <w:rPr>
          <w:rFonts w:asciiTheme="majorHAnsi" w:hAnsiTheme="majorHAnsi"/>
          <w:b w:val="0"/>
          <w:bCs w:val="0"/>
          <w:sz w:val="22"/>
          <w:szCs w:val="22"/>
        </w:rPr>
        <w:t>.</w:t>
      </w:r>
    </w:p>
    <w:p w14:paraId="463479E3" w14:textId="77777777" w:rsidR="001D1B1C" w:rsidRDefault="001D1B1C" w:rsidP="001D1B1C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b w:val="0"/>
          <w:spacing w:val="-1"/>
          <w:sz w:val="24"/>
          <w:szCs w:val="24"/>
        </w:rPr>
      </w:pPr>
    </w:p>
    <w:p w14:paraId="6634C7D6" w14:textId="77777777" w:rsidR="001D1B1C" w:rsidRPr="001D1B1C" w:rsidRDefault="001D1B1C" w:rsidP="001D1B1C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ED7D31" w:themeColor="accent2"/>
          <w:spacing w:val="-1"/>
          <w:sz w:val="24"/>
          <w:szCs w:val="24"/>
        </w:rPr>
      </w:pPr>
      <w:r w:rsidRPr="001D1B1C">
        <w:rPr>
          <w:rFonts w:asciiTheme="majorHAnsi" w:hAnsiTheme="majorHAnsi"/>
          <w:color w:val="ED7D31" w:themeColor="accent2"/>
          <w:spacing w:val="-1"/>
          <w:sz w:val="24"/>
          <w:szCs w:val="24"/>
        </w:rPr>
        <w:t>LEARNING OUTCOMES</w:t>
      </w:r>
    </w:p>
    <w:p w14:paraId="11E35CCC" w14:textId="77777777" w:rsidR="001D1B1C" w:rsidRPr="00603FD7" w:rsidRDefault="001D1B1C" w:rsidP="001D1B1C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b w:val="0"/>
          <w:color w:val="70AD47" w:themeColor="accent6"/>
          <w:spacing w:val="-1"/>
          <w:sz w:val="24"/>
          <w:szCs w:val="24"/>
        </w:rPr>
      </w:pPr>
      <w:r w:rsidRPr="00603FD7">
        <w:rPr>
          <w:rFonts w:asciiTheme="majorHAnsi" w:hAnsiTheme="majorHAnsi"/>
          <w:b w:val="0"/>
          <w:spacing w:val="-1"/>
          <w:sz w:val="24"/>
          <w:szCs w:val="24"/>
        </w:rPr>
        <w:t>Physicians will</w:t>
      </w:r>
      <w:r>
        <w:rPr>
          <w:rFonts w:asciiTheme="majorHAnsi" w:hAnsiTheme="majorHAnsi"/>
          <w:b w:val="0"/>
          <w:spacing w:val="-1"/>
          <w:sz w:val="24"/>
          <w:szCs w:val="24"/>
        </w:rPr>
        <w:t xml:space="preserve"> have an awareness of</w:t>
      </w:r>
      <w:r w:rsidRPr="00603FD7">
        <w:rPr>
          <w:rFonts w:asciiTheme="majorHAnsi" w:hAnsiTheme="majorHAnsi"/>
          <w:b w:val="0"/>
          <w:spacing w:val="-1"/>
          <w:sz w:val="24"/>
          <w:szCs w:val="24"/>
        </w:rPr>
        <w:t>:</w:t>
      </w:r>
    </w:p>
    <w:p w14:paraId="5A6BC1D8" w14:textId="77777777" w:rsidR="001D1B1C" w:rsidRDefault="001D1B1C" w:rsidP="001D1B1C">
      <w:pPr>
        <w:pStyle w:val="ListParagraph"/>
        <w:widowControl/>
        <w:numPr>
          <w:ilvl w:val="0"/>
          <w:numId w:val="1"/>
        </w:numPr>
        <w:spacing w:line="276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Polypharmacy risk and how to safely reduce that risk</w:t>
      </w:r>
    </w:p>
    <w:p w14:paraId="72F85D19" w14:textId="77777777" w:rsidR="00D833F0" w:rsidRDefault="001D1B1C" w:rsidP="001D1B1C">
      <w:pPr>
        <w:pStyle w:val="ListParagraph"/>
        <w:widowControl/>
        <w:numPr>
          <w:ilvl w:val="0"/>
          <w:numId w:val="1"/>
        </w:numPr>
        <w:spacing w:line="276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Opportunities to move from current to enhanced approaches to meaningful medication reviews, in the context of the support in their local communities</w:t>
      </w:r>
    </w:p>
    <w:p w14:paraId="72CFF2F8" w14:textId="77777777" w:rsidR="00D833F0" w:rsidRDefault="00D833F0" w:rsidP="001D1B1C">
      <w:pPr>
        <w:spacing w:line="276" w:lineRule="auto"/>
        <w:contextualSpacing/>
        <w:rPr>
          <w:rFonts w:asciiTheme="majorHAnsi" w:hAnsiTheme="majorHAnsi"/>
        </w:rPr>
      </w:pPr>
    </w:p>
    <w:p w14:paraId="2EA90F81" w14:textId="76FD4B14" w:rsidR="001D1B1C" w:rsidRDefault="000138BA" w:rsidP="001D1B1C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ED7D31" w:themeColor="accent2"/>
          <w:spacing w:val="-1"/>
          <w:sz w:val="24"/>
          <w:szCs w:val="24"/>
        </w:rPr>
      </w:pPr>
      <w:r>
        <w:rPr>
          <w:rFonts w:asciiTheme="majorHAnsi" w:hAnsiTheme="majorHAnsi"/>
          <w:color w:val="ED7D31" w:themeColor="accent2"/>
          <w:spacing w:val="-1"/>
          <w:sz w:val="24"/>
          <w:szCs w:val="24"/>
        </w:rPr>
        <w:t>View the Shared Care Polypharmacy site for u</w:t>
      </w:r>
      <w:r w:rsidR="001D1B1C">
        <w:rPr>
          <w:rFonts w:asciiTheme="majorHAnsi" w:hAnsiTheme="majorHAnsi"/>
          <w:color w:val="ED7D31" w:themeColor="accent2"/>
          <w:spacing w:val="-1"/>
          <w:sz w:val="24"/>
          <w:szCs w:val="24"/>
        </w:rPr>
        <w:t xml:space="preserve">seful </w:t>
      </w:r>
      <w:r>
        <w:rPr>
          <w:rFonts w:asciiTheme="majorHAnsi" w:hAnsiTheme="majorHAnsi"/>
          <w:color w:val="ED7D31" w:themeColor="accent2"/>
          <w:spacing w:val="-1"/>
          <w:sz w:val="24"/>
          <w:szCs w:val="24"/>
        </w:rPr>
        <w:t>l</w:t>
      </w:r>
      <w:r w:rsidR="001D1B1C">
        <w:rPr>
          <w:rFonts w:asciiTheme="majorHAnsi" w:hAnsiTheme="majorHAnsi"/>
          <w:color w:val="ED7D31" w:themeColor="accent2"/>
          <w:spacing w:val="-1"/>
          <w:sz w:val="24"/>
          <w:szCs w:val="24"/>
        </w:rPr>
        <w:t>inks</w:t>
      </w:r>
      <w:r>
        <w:rPr>
          <w:rFonts w:asciiTheme="majorHAnsi" w:hAnsiTheme="majorHAnsi"/>
          <w:color w:val="ED7D31" w:themeColor="accent2"/>
          <w:spacing w:val="-1"/>
          <w:sz w:val="24"/>
          <w:szCs w:val="24"/>
        </w:rPr>
        <w:t>:</w:t>
      </w:r>
    </w:p>
    <w:p w14:paraId="5364FC7A" w14:textId="77777777" w:rsidR="000138BA" w:rsidRDefault="00573C99" w:rsidP="000138BA">
      <w:pPr>
        <w:pStyle w:val="Heading1"/>
        <w:tabs>
          <w:tab w:val="left" w:pos="4549"/>
        </w:tabs>
        <w:spacing w:before="0"/>
        <w:ind w:left="0"/>
        <w:rPr>
          <w:rStyle w:val="Hyperlink"/>
          <w:rFonts w:asciiTheme="majorHAnsi" w:hAnsiTheme="majorHAnsi"/>
          <w:b w:val="0"/>
          <w:spacing w:val="-1"/>
          <w:sz w:val="24"/>
          <w:szCs w:val="24"/>
        </w:rPr>
      </w:pPr>
      <w:hyperlink r:id="rId5" w:history="1">
        <w:r w:rsidR="000138BA" w:rsidRPr="00661F63">
          <w:rPr>
            <w:rStyle w:val="Hyperlink"/>
            <w:rFonts w:asciiTheme="majorHAnsi" w:hAnsiTheme="majorHAnsi"/>
            <w:b w:val="0"/>
            <w:spacing w:val="-1"/>
            <w:sz w:val="24"/>
            <w:szCs w:val="24"/>
          </w:rPr>
          <w:t>http://www.sharedcarebc.ca/resources/polypharmacy-risk-reduction</w:t>
        </w:r>
      </w:hyperlink>
    </w:p>
    <w:p w14:paraId="3985FCB0" w14:textId="77777777" w:rsidR="001679EE" w:rsidRPr="00603FD7" w:rsidRDefault="001679EE" w:rsidP="001D1B1C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color w:val="70AD47" w:themeColor="accent6"/>
          <w:spacing w:val="-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882" w:tblpY="178"/>
        <w:tblW w:w="7848" w:type="dxa"/>
        <w:tblLayout w:type="fixed"/>
        <w:tblLook w:val="04A0" w:firstRow="1" w:lastRow="0" w:firstColumn="1" w:lastColumn="0" w:noHBand="0" w:noVBand="1"/>
      </w:tblPr>
      <w:tblGrid>
        <w:gridCol w:w="4428"/>
        <w:gridCol w:w="3420"/>
      </w:tblGrid>
      <w:tr w:rsidR="006D27F3" w:rsidRPr="00322274" w14:paraId="65C2E215" w14:textId="77777777" w:rsidTr="00CD677C">
        <w:trPr>
          <w:trHeight w:val="471"/>
        </w:trPr>
        <w:tc>
          <w:tcPr>
            <w:tcW w:w="7848" w:type="dxa"/>
            <w:gridSpan w:val="2"/>
            <w:vAlign w:val="center"/>
          </w:tcPr>
          <w:p w14:paraId="23F9AA98" w14:textId="77777777" w:rsidR="006D27F3" w:rsidRDefault="008E6E87" w:rsidP="00CD677C">
            <w:pPr>
              <w:pStyle w:val="Heading1"/>
              <w:tabs>
                <w:tab w:val="left" w:pos="4549"/>
              </w:tabs>
              <w:spacing w:before="120" w:after="120"/>
              <w:ind w:left="0"/>
              <w:jc w:val="center"/>
              <w:outlineLvl w:val="0"/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Cs w:val="0"/>
              </w:rPr>
              <w:t>Local Community</w:t>
            </w:r>
            <w:r w:rsidR="006D27F3" w:rsidRPr="006D27F3">
              <w:rPr>
                <w:rFonts w:asciiTheme="majorHAnsi" w:hAnsiTheme="majorHAnsi"/>
                <w:bCs w:val="0"/>
              </w:rPr>
              <w:t xml:space="preserve"> </w:t>
            </w:r>
          </w:p>
          <w:p w14:paraId="643BD0B7" w14:textId="5D2079DD" w:rsidR="00165D47" w:rsidRPr="006D27F3" w:rsidRDefault="00165D47" w:rsidP="00CD677C">
            <w:pPr>
              <w:pStyle w:val="Heading1"/>
              <w:tabs>
                <w:tab w:val="left" w:pos="4549"/>
              </w:tabs>
              <w:spacing w:before="120" w:after="120"/>
              <w:ind w:left="0"/>
              <w:jc w:val="center"/>
              <w:outlineLvl w:val="0"/>
              <w:rPr>
                <w:rFonts w:asciiTheme="majorHAnsi" w:hAnsiTheme="majorHAnsi"/>
                <w:bCs w:val="0"/>
              </w:rPr>
            </w:pPr>
            <w:bookmarkStart w:id="0" w:name="_GoBack"/>
            <w:r>
              <w:rPr>
                <w:rFonts w:asciiTheme="majorHAnsi" w:hAnsiTheme="majorHAnsi"/>
                <w:bCs w:val="0"/>
                <w:sz w:val="22"/>
                <w:szCs w:val="22"/>
              </w:rPr>
              <w:t xml:space="preserve">The community BLCS  provides the opportunity for a local group of community physicians to more deeply discuss how to improve </w:t>
            </w:r>
            <w:r w:rsidRPr="00C2405A">
              <w:rPr>
                <w:rFonts w:asciiTheme="majorHAnsi" w:hAnsiTheme="majorHAnsi"/>
                <w:bCs w:val="0"/>
                <w:sz w:val="22"/>
                <w:szCs w:val="22"/>
              </w:rPr>
              <w:t>the</w:t>
            </w:r>
            <w:r w:rsidR="00275AE2">
              <w:rPr>
                <w:rFonts w:asciiTheme="majorHAnsi" w:hAnsiTheme="majorHAnsi"/>
                <w:bCs w:val="0"/>
                <w:sz w:val="22"/>
                <w:szCs w:val="22"/>
              </w:rPr>
              <w:t>ir</w:t>
            </w:r>
            <w:r w:rsidRPr="00C2405A">
              <w:rPr>
                <w:rFonts w:asciiTheme="majorHAnsi" w:hAnsiTheme="majorHAnsi"/>
                <w:bCs w:val="0"/>
                <w:sz w:val="22"/>
                <w:szCs w:val="22"/>
              </w:rPr>
              <w:t xml:space="preserve"> meaningful medication review approach</w:t>
            </w:r>
            <w:r>
              <w:rPr>
                <w:rFonts w:asciiTheme="majorHAnsi" w:hAnsiTheme="majorHAnsi"/>
                <w:bCs w:val="0"/>
                <w:sz w:val="22"/>
                <w:szCs w:val="22"/>
              </w:rPr>
              <w:t xml:space="preserve">, </w:t>
            </w:r>
            <w:r w:rsidR="00573C99">
              <w:rPr>
                <w:rFonts w:asciiTheme="majorHAnsi" w:hAnsiTheme="majorHAnsi"/>
                <w:bCs w:val="0"/>
                <w:sz w:val="22"/>
                <w:szCs w:val="22"/>
              </w:rPr>
              <w:t>amongst</w:t>
            </w:r>
            <w:r>
              <w:rPr>
                <w:rFonts w:asciiTheme="majorHAnsi" w:hAnsiTheme="majorHAnsi"/>
                <w:bCs w:val="0"/>
                <w:sz w:val="22"/>
                <w:szCs w:val="22"/>
              </w:rPr>
              <w:t xml:space="preserve"> themselves and involving </w:t>
            </w:r>
            <w:r w:rsidR="00275AE2">
              <w:rPr>
                <w:rFonts w:asciiTheme="majorHAnsi" w:hAnsiTheme="majorHAnsi"/>
                <w:bCs w:val="0"/>
                <w:sz w:val="22"/>
                <w:szCs w:val="22"/>
              </w:rPr>
              <w:t>other community health care providers, including pharmacists, as well as acute care providers working on transitions of care</w:t>
            </w:r>
            <w:r>
              <w:rPr>
                <w:rFonts w:asciiTheme="majorHAnsi" w:hAnsiTheme="majorHAnsi"/>
                <w:bCs w:val="0"/>
                <w:sz w:val="22"/>
                <w:szCs w:val="22"/>
              </w:rPr>
              <w:t xml:space="preserve">. Next steps can be determined, particularly improvement support from their local </w:t>
            </w:r>
            <w:r w:rsidR="00275AE2">
              <w:rPr>
                <w:rFonts w:asciiTheme="majorHAnsi" w:hAnsiTheme="majorHAnsi"/>
                <w:bCs w:val="0"/>
                <w:sz w:val="22"/>
                <w:szCs w:val="22"/>
              </w:rPr>
              <w:t>Division of Family Practice</w:t>
            </w:r>
            <w:r>
              <w:rPr>
                <w:rFonts w:asciiTheme="majorHAnsi" w:hAnsiTheme="majorHAnsi"/>
                <w:bCs w:val="0"/>
                <w:sz w:val="22"/>
                <w:szCs w:val="22"/>
              </w:rPr>
              <w:t>.</w:t>
            </w:r>
            <w:bookmarkEnd w:id="0"/>
          </w:p>
        </w:tc>
      </w:tr>
      <w:tr w:rsidR="006D27F3" w:rsidRPr="00322274" w14:paraId="0DCEAB0A" w14:textId="77777777" w:rsidTr="00CD677C">
        <w:trPr>
          <w:trHeight w:val="483"/>
        </w:trPr>
        <w:tc>
          <w:tcPr>
            <w:tcW w:w="4428" w:type="dxa"/>
            <w:vAlign w:val="center"/>
          </w:tcPr>
          <w:p w14:paraId="00682529" w14:textId="77777777" w:rsidR="006D27F3" w:rsidRPr="00322274" w:rsidRDefault="006D27F3" w:rsidP="00CD677C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Cs w:val="0"/>
                <w:sz w:val="22"/>
                <w:szCs w:val="22"/>
              </w:rPr>
              <w:t>DISCUSSION ITEM</w:t>
            </w:r>
          </w:p>
        </w:tc>
        <w:tc>
          <w:tcPr>
            <w:tcW w:w="3420" w:type="dxa"/>
            <w:vAlign w:val="center"/>
          </w:tcPr>
          <w:p w14:paraId="36664E17" w14:textId="77777777" w:rsidR="006D27F3" w:rsidRPr="00322274" w:rsidRDefault="006D27F3" w:rsidP="00CD677C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Cs w:val="0"/>
                <w:sz w:val="22"/>
                <w:szCs w:val="22"/>
              </w:rPr>
              <w:t>LEAD</w:t>
            </w:r>
          </w:p>
        </w:tc>
      </w:tr>
      <w:tr w:rsidR="006D27F3" w:rsidRPr="00322274" w14:paraId="4B1FD983" w14:textId="77777777" w:rsidTr="00CD677C">
        <w:trPr>
          <w:trHeight w:val="483"/>
        </w:trPr>
        <w:tc>
          <w:tcPr>
            <w:tcW w:w="4428" w:type="dxa"/>
            <w:vAlign w:val="center"/>
          </w:tcPr>
          <w:p w14:paraId="4C8468F6" w14:textId="5E1B04BE" w:rsidR="00136E79" w:rsidRPr="00322274" w:rsidRDefault="006D27F3" w:rsidP="00CD677C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Welcome &amp; Introductions</w:t>
            </w:r>
          </w:p>
        </w:tc>
        <w:tc>
          <w:tcPr>
            <w:tcW w:w="3420" w:type="dxa"/>
            <w:vAlign w:val="center"/>
          </w:tcPr>
          <w:p w14:paraId="0EBB8667" w14:textId="461953D0" w:rsidR="006D27F3" w:rsidRPr="00322274" w:rsidRDefault="00136E79" w:rsidP="00CD677C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Determined locally</w:t>
            </w:r>
          </w:p>
        </w:tc>
      </w:tr>
      <w:tr w:rsidR="002D51A8" w:rsidRPr="00322274" w14:paraId="17E22874" w14:textId="77777777" w:rsidTr="00CD677C">
        <w:trPr>
          <w:trHeight w:val="483"/>
        </w:trPr>
        <w:tc>
          <w:tcPr>
            <w:tcW w:w="4428" w:type="dxa"/>
            <w:vAlign w:val="center"/>
          </w:tcPr>
          <w:p w14:paraId="4C55E327" w14:textId="77777777" w:rsidR="002D51A8" w:rsidRDefault="002D51A8" w:rsidP="00CD677C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Overview </w:t>
            </w:r>
          </w:p>
          <w:p w14:paraId="319D3B09" w14:textId="73A0961A" w:rsidR="002D51A8" w:rsidRPr="00322274" w:rsidRDefault="002D51A8" w:rsidP="00CD677C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(Resource: Overview slides</w:t>
            </w:r>
            <w:r w:rsidR="002770DF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a compilation provided)</w:t>
            </w:r>
          </w:p>
        </w:tc>
        <w:tc>
          <w:tcPr>
            <w:tcW w:w="3420" w:type="dxa"/>
            <w:vAlign w:val="center"/>
          </w:tcPr>
          <w:p w14:paraId="3D20325B" w14:textId="77777777" w:rsidR="002D51A8" w:rsidRDefault="002D51A8" w:rsidP="00CD677C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Determined locally</w:t>
            </w:r>
          </w:p>
          <w:p w14:paraId="77EE9BF6" w14:textId="715A3484" w:rsidR="002D51A8" w:rsidRDefault="002D51A8" w:rsidP="00CD677C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(</w:t>
            </w:r>
            <w:r w:rsidR="00CB2B88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D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etermine how many slides to speak to per length of time for the whole session-may only be a few slides so as to leave enough time for discussion)</w:t>
            </w:r>
          </w:p>
        </w:tc>
      </w:tr>
      <w:tr w:rsidR="006D27F3" w:rsidRPr="00322274" w14:paraId="0D063F65" w14:textId="77777777" w:rsidTr="00CD677C">
        <w:trPr>
          <w:trHeight w:val="329"/>
        </w:trPr>
        <w:tc>
          <w:tcPr>
            <w:tcW w:w="4428" w:type="dxa"/>
            <w:vAlign w:val="center"/>
          </w:tcPr>
          <w:p w14:paraId="0DE8BB2B" w14:textId="77777777" w:rsidR="006D27F3" w:rsidRDefault="006D27F3" w:rsidP="00CD677C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Case review – 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Mrs. Pisa</w:t>
            </w:r>
          </w:p>
          <w:p w14:paraId="1FE843FE" w14:textId="346111DA" w:rsidR="008E6E87" w:rsidRPr="00322274" w:rsidRDefault="008E6E87" w:rsidP="00CD677C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(Resource- Case scenario)</w:t>
            </w:r>
          </w:p>
        </w:tc>
        <w:tc>
          <w:tcPr>
            <w:tcW w:w="3420" w:type="dxa"/>
            <w:vAlign w:val="center"/>
          </w:tcPr>
          <w:p w14:paraId="4229FE72" w14:textId="29FB7DB0" w:rsidR="008E6E87" w:rsidRDefault="008E6E87" w:rsidP="008E6E87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Ask the attendees, in groups of 2-4, to quickly read the case and then discuss what changes they would make to the medications and why. 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lastRenderedPageBreak/>
              <w:t>Give them 10 minutes- this is a quick ‘energizer’</w:t>
            </w:r>
          </w:p>
          <w:p w14:paraId="2C85331A" w14:textId="30118E8C" w:rsidR="008E6E87" w:rsidRPr="00322274" w:rsidRDefault="008E6E87" w:rsidP="008E6E87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Then, going around the room, ask each group to quickly tell the whole group what 2 medications they would change and why--</w:t>
            </w:r>
          </w:p>
        </w:tc>
      </w:tr>
      <w:tr w:rsidR="006D27F3" w:rsidRPr="00322274" w14:paraId="28F3D060" w14:textId="77777777" w:rsidTr="00CD677C">
        <w:trPr>
          <w:trHeight w:val="471"/>
        </w:trPr>
        <w:tc>
          <w:tcPr>
            <w:tcW w:w="4428" w:type="dxa"/>
            <w:vAlign w:val="center"/>
          </w:tcPr>
          <w:p w14:paraId="1A956A70" w14:textId="77777777" w:rsidR="006D27F3" w:rsidRDefault="006D27F3" w:rsidP="00CD677C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lastRenderedPageBreak/>
              <w:t>Basics</w:t>
            </w:r>
            <w:r w:rsidR="00D833F0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-Why, Opportunities, Clinical Resources</w:t>
            </w:r>
          </w:p>
          <w:p w14:paraId="43BABC17" w14:textId="32AFB746" w:rsidR="009A0D1E" w:rsidRPr="00322274" w:rsidRDefault="009A0D1E" w:rsidP="00CD677C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8E284F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Resource</w:t>
            </w:r>
            <w:r w:rsidR="0026103D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s</w:t>
            </w:r>
            <w:r w:rsidR="007D2993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- in this order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 xml:space="preserve">: </w:t>
            </w:r>
            <w:r w:rsidR="0000217B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PPT-this is a ‘running’ slide deck</w:t>
            </w:r>
            <w:r w:rsidRPr="008E284F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  <w:r w:rsidR="0000217B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intended for the balance of the</w:t>
            </w:r>
            <w:r w:rsidRPr="008E284F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 xml:space="preserve"> worksho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p</w:t>
            </w:r>
            <w:r w:rsidR="0026103D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 xml:space="preserve">; </w:t>
            </w:r>
            <w:r w:rsidR="00C12182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 xml:space="preserve">the following resources can be handouts and are referred to in the PPT: </w:t>
            </w:r>
            <w:r w:rsidR="0026103D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 xml:space="preserve">community approach slide and clinical frailty scale; med review template; </w:t>
            </w:r>
            <w:r w:rsidR="00954001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 xml:space="preserve">Statin </w:t>
            </w:r>
            <w:r w:rsidR="009D529E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 xml:space="preserve">and PPI </w:t>
            </w:r>
            <w:r w:rsidR="00954001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You Decide sheet</w:t>
            </w:r>
            <w:r w:rsidR="009D529E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 xml:space="preserve">s; </w:t>
            </w:r>
            <w:r w:rsidR="00A11F8E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PPI deprescribing algorithm for prescribers plus the patient pamphlet</w:t>
            </w:r>
            <w:r w:rsidR="00981491"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; NO TEARS tool</w:t>
            </w:r>
            <w:r>
              <w:rPr>
                <w:rFonts w:asciiTheme="majorHAnsi" w:hAnsiTheme="majorHAnsi"/>
                <w:b w:val="0"/>
                <w:bCs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420" w:type="dxa"/>
            <w:vAlign w:val="center"/>
          </w:tcPr>
          <w:p w14:paraId="6DCE933F" w14:textId="5F7A7F53" w:rsidR="006D27F3" w:rsidRPr="00322274" w:rsidRDefault="000D39A5" w:rsidP="00CD677C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Determined locally</w:t>
            </w:r>
          </w:p>
        </w:tc>
      </w:tr>
      <w:tr w:rsidR="00D833F0" w:rsidRPr="00322274" w14:paraId="7F032729" w14:textId="77777777" w:rsidTr="00CD677C">
        <w:trPr>
          <w:trHeight w:val="483"/>
        </w:trPr>
        <w:tc>
          <w:tcPr>
            <w:tcW w:w="4428" w:type="dxa"/>
            <w:vAlign w:val="center"/>
          </w:tcPr>
          <w:p w14:paraId="2A82694E" w14:textId="77777777" w:rsidR="00D833F0" w:rsidRDefault="00D833F0" w:rsidP="00D833F0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Table and Group Discussion: Evolving Local</w:t>
            </w:r>
            <w:r w:rsidRPr="00FA20CA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Ap</w:t>
            </w: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proaches for Meaningful Medication Reviews</w:t>
            </w:r>
          </w:p>
          <w:p w14:paraId="2C8DA959" w14:textId="6B043114" w:rsidR="00435AF4" w:rsidRPr="00435AF4" w:rsidRDefault="00435AF4" w:rsidP="00435AF4">
            <w:pPr>
              <w:pStyle w:val="NormalWeb"/>
              <w:shd w:val="clear" w:color="auto" w:fill="FFFFFF"/>
              <w:rPr>
                <w:rFonts w:asciiTheme="majorHAnsi" w:eastAsiaTheme="minorHAnsi" w:hAnsiTheme="majorHAnsi" w:cstheme="majorHAnsi"/>
                <w:lang w:val="en-US"/>
              </w:rPr>
            </w:pPr>
            <w:r w:rsidRPr="00435AF4">
              <w:rPr>
                <w:rFonts w:asciiTheme="majorHAnsi" w:hAnsiTheme="majorHAnsi" w:cstheme="majorHAnsi"/>
                <w:bCs/>
              </w:rPr>
              <w:t>(Resource:</w:t>
            </w:r>
            <w:r w:rsidRPr="00435AF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435AF4">
              <w:rPr>
                <w:rFonts w:asciiTheme="majorHAnsi" w:hAnsiTheme="majorHAnsi" w:cstheme="majorHAnsi"/>
              </w:rPr>
              <w:t xml:space="preserve"> </w:t>
            </w:r>
            <w:r w:rsidRPr="00435AF4">
              <w:rPr>
                <w:rFonts w:asciiTheme="majorHAnsi" w:eastAsiaTheme="minorHAnsi" w:hAnsiTheme="majorHAnsi" w:cstheme="majorHAnsi"/>
                <w:lang w:val="en-US"/>
              </w:rPr>
              <w:t>Enhancing the Local Approach to Polypharmacy Risk Reduction table</w:t>
            </w:r>
          </w:p>
        </w:tc>
        <w:tc>
          <w:tcPr>
            <w:tcW w:w="3420" w:type="dxa"/>
            <w:vAlign w:val="center"/>
          </w:tcPr>
          <w:p w14:paraId="51A69732" w14:textId="70F305E7" w:rsidR="00D833F0" w:rsidRPr="00D24238" w:rsidRDefault="00983195" w:rsidP="00D833F0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Discussion of current approach, desired enhanced approach and what supports may be required to move to that enhanced approach (Discussion first at each table and then highlight key points in a whole group discussion) (May want to facilitate)</w:t>
            </w:r>
          </w:p>
        </w:tc>
      </w:tr>
      <w:tr w:rsidR="00D833F0" w:rsidRPr="00322274" w14:paraId="5DCF8295" w14:textId="77777777" w:rsidTr="00CD677C">
        <w:trPr>
          <w:trHeight w:val="483"/>
        </w:trPr>
        <w:tc>
          <w:tcPr>
            <w:tcW w:w="4428" w:type="dxa"/>
            <w:vAlign w:val="center"/>
          </w:tcPr>
          <w:p w14:paraId="37025378" w14:textId="77777777" w:rsidR="00D833F0" w:rsidRPr="00322274" w:rsidRDefault="00D833F0" w:rsidP="00D833F0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 w:rsidRPr="00322274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Next Steps </w:t>
            </w:r>
          </w:p>
        </w:tc>
        <w:tc>
          <w:tcPr>
            <w:tcW w:w="3420" w:type="dxa"/>
            <w:vAlign w:val="center"/>
          </w:tcPr>
          <w:p w14:paraId="6F48FAEF" w14:textId="77777777" w:rsidR="00D833F0" w:rsidRPr="00322274" w:rsidRDefault="00840509" w:rsidP="00D833F0">
            <w:pPr>
              <w:pStyle w:val="Heading1"/>
              <w:tabs>
                <w:tab w:val="left" w:pos="4549"/>
              </w:tabs>
              <w:spacing w:before="120" w:after="120"/>
              <w:ind w:left="0"/>
              <w:outlineLvl w:val="0"/>
              <w:rPr>
                <w:rFonts w:asciiTheme="majorHAnsi" w:hAnsiTheme="majorHAnsi"/>
                <w:b w:val="0"/>
                <w:bCs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Local group/</w:t>
            </w:r>
            <w:r w:rsidR="00D833F0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Practice Coach</w:t>
            </w:r>
          </w:p>
        </w:tc>
      </w:tr>
    </w:tbl>
    <w:p w14:paraId="7CD16D5C" w14:textId="77777777" w:rsidR="001D1B1C" w:rsidRPr="001D1B1C" w:rsidRDefault="001D1B1C" w:rsidP="001D1B1C">
      <w:pPr>
        <w:spacing w:line="276" w:lineRule="auto"/>
        <w:contextualSpacing/>
        <w:rPr>
          <w:rFonts w:asciiTheme="majorHAnsi" w:hAnsiTheme="majorHAnsi"/>
        </w:rPr>
      </w:pPr>
    </w:p>
    <w:p w14:paraId="095D5D75" w14:textId="77777777" w:rsidR="001D1B1C" w:rsidRPr="00A15E5F" w:rsidRDefault="001D1B1C" w:rsidP="001D1B1C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b w:val="0"/>
          <w:spacing w:val="-1"/>
          <w:sz w:val="24"/>
          <w:szCs w:val="24"/>
        </w:rPr>
      </w:pPr>
    </w:p>
    <w:p w14:paraId="5DD70EDE" w14:textId="77777777" w:rsidR="001D1B1C" w:rsidRDefault="001D1B1C" w:rsidP="001D1B1C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spacing w:val="-1"/>
        </w:rPr>
      </w:pPr>
    </w:p>
    <w:p w14:paraId="1E6251C9" w14:textId="77777777" w:rsidR="001D1B1C" w:rsidRPr="00603FD7" w:rsidRDefault="001D1B1C" w:rsidP="001D1B1C">
      <w:pPr>
        <w:pStyle w:val="Heading1"/>
        <w:tabs>
          <w:tab w:val="left" w:pos="4549"/>
        </w:tabs>
        <w:spacing w:before="0"/>
        <w:ind w:left="0"/>
        <w:rPr>
          <w:rFonts w:asciiTheme="majorHAnsi" w:hAnsiTheme="majorHAnsi"/>
          <w:spacing w:val="-1"/>
        </w:rPr>
      </w:pPr>
    </w:p>
    <w:p w14:paraId="3CE85E84" w14:textId="77777777" w:rsidR="001D1B1C" w:rsidRDefault="001D1B1C" w:rsidP="001D1B1C">
      <w:pPr>
        <w:pStyle w:val="Heading1"/>
        <w:tabs>
          <w:tab w:val="left" w:pos="4549"/>
        </w:tabs>
        <w:spacing w:before="0"/>
        <w:ind w:left="0"/>
        <w:jc w:val="center"/>
        <w:rPr>
          <w:rFonts w:asciiTheme="majorHAnsi" w:hAnsiTheme="majorHAnsi"/>
          <w:spacing w:val="-1"/>
        </w:rPr>
      </w:pPr>
    </w:p>
    <w:p w14:paraId="397EC745" w14:textId="77777777" w:rsidR="004E4AFA" w:rsidRDefault="00573C99" w:rsidP="001D1B1C">
      <w:pPr>
        <w:jc w:val="center"/>
      </w:pPr>
    </w:p>
    <w:sectPr w:rsidR="004E4AFA" w:rsidSect="007406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4DC2"/>
    <w:multiLevelType w:val="hybridMultilevel"/>
    <w:tmpl w:val="5CB87D3E"/>
    <w:lvl w:ilvl="0" w:tplc="2C74C41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1C"/>
    <w:rsid w:val="0000217B"/>
    <w:rsid w:val="000138BA"/>
    <w:rsid w:val="000D0F0B"/>
    <w:rsid w:val="000D39A5"/>
    <w:rsid w:val="000F75D5"/>
    <w:rsid w:val="00136E79"/>
    <w:rsid w:val="00165D47"/>
    <w:rsid w:val="001679EE"/>
    <w:rsid w:val="001D1B1C"/>
    <w:rsid w:val="002167B9"/>
    <w:rsid w:val="0026103D"/>
    <w:rsid w:val="00275AE2"/>
    <w:rsid w:val="002770DF"/>
    <w:rsid w:val="002D51A8"/>
    <w:rsid w:val="00303477"/>
    <w:rsid w:val="00315616"/>
    <w:rsid w:val="00392A08"/>
    <w:rsid w:val="00435AF4"/>
    <w:rsid w:val="00573C99"/>
    <w:rsid w:val="00612747"/>
    <w:rsid w:val="006D27F3"/>
    <w:rsid w:val="00740688"/>
    <w:rsid w:val="00753752"/>
    <w:rsid w:val="0078774C"/>
    <w:rsid w:val="007D2993"/>
    <w:rsid w:val="00840509"/>
    <w:rsid w:val="008E6E87"/>
    <w:rsid w:val="008F64E4"/>
    <w:rsid w:val="00905DF9"/>
    <w:rsid w:val="00954001"/>
    <w:rsid w:val="0096717B"/>
    <w:rsid w:val="00981491"/>
    <w:rsid w:val="00983195"/>
    <w:rsid w:val="009A0D1E"/>
    <w:rsid w:val="009D529E"/>
    <w:rsid w:val="00A11F8E"/>
    <w:rsid w:val="00B5781B"/>
    <w:rsid w:val="00C12182"/>
    <w:rsid w:val="00C30D85"/>
    <w:rsid w:val="00C44C6E"/>
    <w:rsid w:val="00CB2B88"/>
    <w:rsid w:val="00CD398F"/>
    <w:rsid w:val="00D833F0"/>
    <w:rsid w:val="00F310A1"/>
    <w:rsid w:val="00F4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6507"/>
  <w14:defaultImageDpi w14:val="32767"/>
  <w15:chartTrackingRefBased/>
  <w15:docId w15:val="{31D8265E-F6F0-CF4E-B356-8CF1A9AA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D1B1C"/>
    <w:pPr>
      <w:widowControl w:val="0"/>
      <w:spacing w:before="44"/>
      <w:ind w:left="11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1B1C"/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D1B1C"/>
    <w:pPr>
      <w:widowControl w:val="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679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F75D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D27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5A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aredcarebc.ca/resources/polypharmacy-risk-redu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A21FBFAB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Rauscher</dc:creator>
  <cp:keywords/>
  <dc:description/>
  <cp:lastModifiedBy>Nadler, Jessica</cp:lastModifiedBy>
  <cp:revision>2</cp:revision>
  <dcterms:created xsi:type="dcterms:W3CDTF">2019-05-31T18:39:00Z</dcterms:created>
  <dcterms:modified xsi:type="dcterms:W3CDTF">2019-05-31T18:39:00Z</dcterms:modified>
</cp:coreProperties>
</file>